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F0" w:rsidRDefault="00557DF0" w:rsidP="008344A1">
      <w:pPr>
        <w:spacing w:after="120" w:line="240" w:lineRule="auto"/>
        <w:jc w:val="center"/>
        <w:rPr>
          <w:b/>
        </w:rPr>
      </w:pPr>
      <w:bookmarkStart w:id="0" w:name="_GoBack"/>
      <w:bookmarkEnd w:id="0"/>
      <w:r>
        <w:rPr>
          <w:b/>
        </w:rPr>
        <w:t>UNION JACK OIL PLC</w:t>
      </w:r>
    </w:p>
    <w:p w:rsidR="00557DF0" w:rsidRDefault="00557DF0" w:rsidP="008344A1">
      <w:pPr>
        <w:spacing w:after="120" w:line="240" w:lineRule="auto"/>
        <w:jc w:val="center"/>
      </w:pPr>
      <w:r>
        <w:t>(AIM: UJO)</w:t>
      </w:r>
    </w:p>
    <w:p w:rsidR="00557DF0" w:rsidRPr="00557DF0" w:rsidRDefault="00557DF0" w:rsidP="008344A1">
      <w:pPr>
        <w:spacing w:after="120" w:line="240" w:lineRule="auto"/>
        <w:jc w:val="center"/>
        <w:rPr>
          <w:b/>
        </w:rPr>
      </w:pPr>
      <w:r w:rsidRPr="00557DF0">
        <w:rPr>
          <w:b/>
        </w:rPr>
        <w:t>Changes</w:t>
      </w:r>
      <w:r w:rsidR="008344A1">
        <w:rPr>
          <w:b/>
        </w:rPr>
        <w:t xml:space="preserve"> to </w:t>
      </w:r>
      <w:r w:rsidR="002D5669">
        <w:rPr>
          <w:b/>
        </w:rPr>
        <w:t>L</w:t>
      </w:r>
      <w:r w:rsidR="008344A1">
        <w:rPr>
          <w:b/>
        </w:rPr>
        <w:t xml:space="preserve">icence </w:t>
      </w:r>
      <w:r w:rsidR="002D5669">
        <w:rPr>
          <w:b/>
        </w:rPr>
        <w:t>T</w:t>
      </w:r>
      <w:r w:rsidR="008344A1">
        <w:rPr>
          <w:b/>
        </w:rPr>
        <w:t xml:space="preserve">erms </w:t>
      </w:r>
      <w:r w:rsidR="008344A1" w:rsidRPr="004F74CF">
        <w:rPr>
          <w:b/>
        </w:rPr>
        <w:t>- PEDL241, PEDL253, PEDL209 and PEDL201</w:t>
      </w:r>
    </w:p>
    <w:p w:rsidR="00905257" w:rsidRDefault="00905257" w:rsidP="008344A1">
      <w:pPr>
        <w:spacing w:after="120" w:line="240" w:lineRule="auto"/>
        <w:jc w:val="both"/>
      </w:pPr>
      <w:r>
        <w:t>Union Jack Oil plc ("</w:t>
      </w:r>
      <w:r w:rsidRPr="008344A1">
        <w:rPr>
          <w:b/>
        </w:rPr>
        <w:t>Union Jack</w:t>
      </w:r>
      <w:r>
        <w:t xml:space="preserve">" or the </w:t>
      </w:r>
      <w:r w:rsidR="00254F37">
        <w:t>“</w:t>
      </w:r>
      <w:r w:rsidRPr="008344A1">
        <w:rPr>
          <w:b/>
        </w:rPr>
        <w:t>Company</w:t>
      </w:r>
      <w:r>
        <w:t>"), an onshore oil and gas production and exploration company with a focus on drilling, development and investment opportunities in the</w:t>
      </w:r>
      <w:r w:rsidR="00143159">
        <w:t xml:space="preserve"> </w:t>
      </w:r>
      <w:r>
        <w:t>United Kingdom hydrocarbon sector, notes that Egdon Resources plc ("</w:t>
      </w:r>
      <w:r w:rsidRPr="008344A1">
        <w:rPr>
          <w:b/>
        </w:rPr>
        <w:t>Egdon</w:t>
      </w:r>
      <w:r>
        <w:t xml:space="preserve">") has released an RNS regarding </w:t>
      </w:r>
      <w:r w:rsidR="00557DF0">
        <w:t>“</w:t>
      </w:r>
      <w:r>
        <w:t>UK Licence Changes</w:t>
      </w:r>
      <w:r w:rsidR="00557DF0">
        <w:t>”</w:t>
      </w:r>
      <w:r>
        <w:t xml:space="preserve"> including </w:t>
      </w:r>
      <w:r w:rsidRPr="00905257">
        <w:t>various licence extensions and conversions of licences to new model terms</w:t>
      </w:r>
      <w:r>
        <w:t xml:space="preserve"> where Union Jack has interests</w:t>
      </w:r>
      <w:r w:rsidR="00DD2DE2">
        <w:t>.</w:t>
      </w:r>
    </w:p>
    <w:p w:rsidR="00A731B2" w:rsidRDefault="00DD2DE2" w:rsidP="008344A1">
      <w:pPr>
        <w:spacing w:after="120" w:line="240" w:lineRule="auto"/>
        <w:jc w:val="both"/>
      </w:pPr>
      <w:r>
        <w:t>Egdon’s</w:t>
      </w:r>
      <w:r w:rsidR="00905257">
        <w:t xml:space="preserve"> RNS contained the following information</w:t>
      </w:r>
      <w:r>
        <w:t xml:space="preserve"> of relevance to </w:t>
      </w:r>
      <w:r w:rsidRPr="00DD2DE2">
        <w:t>Union Jack interests</w:t>
      </w:r>
      <w:r w:rsidR="00905257">
        <w:t>:</w:t>
      </w:r>
    </w:p>
    <w:p w:rsidR="00DD2DE2" w:rsidRPr="00254F37" w:rsidRDefault="00905257" w:rsidP="008344A1">
      <w:pPr>
        <w:spacing w:after="120" w:line="240" w:lineRule="auto"/>
        <w:ind w:left="720"/>
        <w:jc w:val="both"/>
        <w:rPr>
          <w:i/>
        </w:rPr>
      </w:pPr>
      <w:r w:rsidRPr="00254F37">
        <w:rPr>
          <w:i/>
        </w:rPr>
        <w:t>“</w:t>
      </w:r>
      <w:proofErr w:type="spellStart"/>
      <w:r w:rsidR="00DD2DE2" w:rsidRPr="00254F37">
        <w:rPr>
          <w:i/>
        </w:rPr>
        <w:t>Egdon</w:t>
      </w:r>
      <w:proofErr w:type="spellEnd"/>
      <w:r w:rsidR="00DD2DE2" w:rsidRPr="00254F37">
        <w:rPr>
          <w:i/>
        </w:rPr>
        <w:t xml:space="preserve"> Resources plc (AIM:</w:t>
      </w:r>
      <w:r w:rsidR="00254F37">
        <w:rPr>
          <w:i/>
        </w:rPr>
        <w:t xml:space="preserve"> </w:t>
      </w:r>
      <w:r w:rsidR="00DD2DE2" w:rsidRPr="00254F37">
        <w:rPr>
          <w:i/>
        </w:rPr>
        <w:t>EDR) is pleased to advise that the Oil and Gas Authority (“OGA”) has approved various licence extensions and conversions of licences to new model terms.</w:t>
      </w:r>
    </w:p>
    <w:p w:rsidR="00905257" w:rsidRPr="00254F37" w:rsidRDefault="00DD2DE2" w:rsidP="008344A1">
      <w:pPr>
        <w:spacing w:after="120" w:line="240" w:lineRule="auto"/>
        <w:ind w:left="720"/>
        <w:jc w:val="both"/>
        <w:rPr>
          <w:i/>
        </w:rPr>
      </w:pPr>
      <w:r w:rsidRPr="00254F37">
        <w:rPr>
          <w:i/>
        </w:rPr>
        <w:t>The OGA has offered holders of existing UK Onshore licences the opportunity to adopt 14th Round licence terms which allow licensees to nominate areas to be retained in exchange for additional work programmes.  Egdon has elected to follow this path on four operated licences and one further non-operated licence where the partnership has also decided to accept the new licensing terms</w:t>
      </w:r>
      <w:r w:rsidR="00254F37">
        <w:rPr>
          <w:i/>
        </w:rPr>
        <w:t>:</w:t>
      </w:r>
    </w:p>
    <w:p w:rsidR="00DD2DE2" w:rsidRPr="00254F37" w:rsidRDefault="00DD2DE2" w:rsidP="008344A1">
      <w:pPr>
        <w:pStyle w:val="ListParagraph"/>
        <w:numPr>
          <w:ilvl w:val="0"/>
          <w:numId w:val="1"/>
        </w:numPr>
        <w:spacing w:after="120" w:line="240" w:lineRule="auto"/>
        <w:jc w:val="both"/>
        <w:rPr>
          <w:i/>
        </w:rPr>
      </w:pPr>
      <w:r w:rsidRPr="00254F37">
        <w:rPr>
          <w:i/>
        </w:rPr>
        <w:t>The first six year term for PEDL241 (Egdon 80%) containing the drill-ready North Kelsey oil prospect has been extended by one further year to 30 June 2017. (Egdon Resources UK Limited 80% and Union Jack Oil plc 20%)</w:t>
      </w:r>
    </w:p>
    <w:p w:rsidR="00DD2DE2" w:rsidRPr="00254F37" w:rsidRDefault="00DD2DE2" w:rsidP="008344A1">
      <w:pPr>
        <w:pStyle w:val="ListParagraph"/>
        <w:numPr>
          <w:ilvl w:val="1"/>
          <w:numId w:val="1"/>
        </w:numPr>
        <w:spacing w:after="120" w:line="240" w:lineRule="auto"/>
        <w:ind w:left="1440" w:hanging="360"/>
        <w:jc w:val="both"/>
        <w:rPr>
          <w:i/>
        </w:rPr>
      </w:pPr>
      <w:r w:rsidRPr="00254F37">
        <w:rPr>
          <w:i/>
        </w:rPr>
        <w:t xml:space="preserve">The first term for PEDL253 containing the drill-ready </w:t>
      </w:r>
      <w:proofErr w:type="spellStart"/>
      <w:r w:rsidRPr="00254F37">
        <w:rPr>
          <w:i/>
        </w:rPr>
        <w:t>Biscathorpe</w:t>
      </w:r>
      <w:proofErr w:type="spellEnd"/>
      <w:r w:rsidRPr="00254F37">
        <w:rPr>
          <w:i/>
        </w:rPr>
        <w:t xml:space="preserve"> oil prospect has been extended by one further year to 30 June 2017. (Egdon Resources UK Limited 52.8%, Montrose Industries Limited 35.2% and Union Jack Oil plc 12%)</w:t>
      </w:r>
    </w:p>
    <w:p w:rsidR="00DD2DE2" w:rsidRPr="00254F37" w:rsidRDefault="00DD2DE2" w:rsidP="008344A1">
      <w:pPr>
        <w:pStyle w:val="ListParagraph"/>
        <w:numPr>
          <w:ilvl w:val="1"/>
          <w:numId w:val="1"/>
        </w:numPr>
        <w:spacing w:after="120" w:line="240" w:lineRule="auto"/>
        <w:ind w:left="1440" w:hanging="360"/>
        <w:jc w:val="both"/>
        <w:rPr>
          <w:i/>
        </w:rPr>
      </w:pPr>
      <w:r w:rsidRPr="00254F37">
        <w:rPr>
          <w:i/>
        </w:rPr>
        <w:t>PEDL201 has adopted the new 14th Round licence terms and will continue without further relinquishment. (Egdon Resources UK Limited 32.5%, Celtique Energie Petroleum Ltd 32.5%, Corfe Energy Limited 12.5%, Terrain Energy Limited 12.5% and Union Jack Oil plc 10%)</w:t>
      </w:r>
    </w:p>
    <w:p w:rsidR="00DD2DE2" w:rsidRDefault="00DD2DE2" w:rsidP="008344A1">
      <w:pPr>
        <w:pStyle w:val="ListParagraph"/>
        <w:numPr>
          <w:ilvl w:val="1"/>
          <w:numId w:val="1"/>
        </w:numPr>
        <w:spacing w:after="120" w:line="240" w:lineRule="auto"/>
        <w:ind w:left="1440" w:hanging="360"/>
        <w:jc w:val="both"/>
        <w:rPr>
          <w:i/>
        </w:rPr>
      </w:pPr>
      <w:r w:rsidRPr="00254F37">
        <w:rPr>
          <w:i/>
        </w:rPr>
        <w:t xml:space="preserve">PEDL209 has adopted the new 14th Round licence terms and will continue without further relinquishment. (Egdon Resources UK Limited 50%, </w:t>
      </w:r>
      <w:proofErr w:type="spellStart"/>
      <w:r w:rsidRPr="00254F37">
        <w:rPr>
          <w:i/>
        </w:rPr>
        <w:t>Blackland</w:t>
      </w:r>
      <w:proofErr w:type="spellEnd"/>
      <w:r w:rsidRPr="00254F37">
        <w:rPr>
          <w:i/>
        </w:rPr>
        <w:t xml:space="preserve"> Park Exploration Limited 28%, </w:t>
      </w:r>
      <w:proofErr w:type="spellStart"/>
      <w:r w:rsidRPr="00254F37">
        <w:rPr>
          <w:i/>
        </w:rPr>
        <w:t>Stelinmatvic</w:t>
      </w:r>
      <w:proofErr w:type="spellEnd"/>
      <w:r w:rsidRPr="00254F37">
        <w:rPr>
          <w:i/>
        </w:rPr>
        <w:t xml:space="preserve"> Industries Limited 12% and Union Jack Oil plc 10%)</w:t>
      </w:r>
      <w:r w:rsidR="00695C59" w:rsidRPr="00254F37">
        <w:rPr>
          <w:i/>
        </w:rPr>
        <w:t>”</w:t>
      </w:r>
    </w:p>
    <w:p w:rsidR="00254F37" w:rsidRPr="00254F37" w:rsidRDefault="00254F37" w:rsidP="008344A1">
      <w:pPr>
        <w:pStyle w:val="ListParagraph"/>
        <w:spacing w:after="120" w:line="240" w:lineRule="auto"/>
        <w:ind w:left="1440"/>
        <w:jc w:val="both"/>
        <w:rPr>
          <w:i/>
        </w:rPr>
      </w:pPr>
    </w:p>
    <w:p w:rsidR="00557DF0" w:rsidRPr="00254F37" w:rsidRDefault="00557DF0" w:rsidP="008344A1">
      <w:pPr>
        <w:spacing w:after="120" w:line="240" w:lineRule="auto"/>
        <w:jc w:val="both"/>
      </w:pPr>
      <w:r>
        <w:rPr>
          <w:b/>
        </w:rPr>
        <w:t>David Bramhill, Executive Chairman of Union Jack, commented:</w:t>
      </w:r>
      <w:r>
        <w:t xml:space="preserve"> </w:t>
      </w:r>
      <w:r w:rsidRPr="00254F37">
        <w:t xml:space="preserve">“These licence extensions and conversions of licences to new model terms allow additional time for the JV’s to drill </w:t>
      </w:r>
      <w:r w:rsidR="002D5669">
        <w:t xml:space="preserve">the </w:t>
      </w:r>
      <w:r w:rsidRPr="00254F37">
        <w:t xml:space="preserve">onshore oil prospects at North Kelsey and </w:t>
      </w:r>
      <w:proofErr w:type="spellStart"/>
      <w:r w:rsidRPr="00254F37">
        <w:t>Biscathorpe</w:t>
      </w:r>
      <w:proofErr w:type="spellEnd"/>
      <w:r w:rsidRPr="00254F37">
        <w:t xml:space="preserve"> and adopting the new 14th Round terms for PEDL201 will allow us to further evaluate the unconventional resource potential of the retained area.</w:t>
      </w:r>
    </w:p>
    <w:p w:rsidR="00557DF0" w:rsidRPr="00254F37" w:rsidRDefault="00557DF0" w:rsidP="008344A1">
      <w:pPr>
        <w:spacing w:after="120" w:line="240" w:lineRule="auto"/>
        <w:jc w:val="both"/>
      </w:pPr>
      <w:r w:rsidRPr="00254F37">
        <w:t xml:space="preserve">In addition to Wressle, which is anticipated to produce first oil during Q4 2016, Union Jack </w:t>
      </w:r>
      <w:r w:rsidR="002D5669">
        <w:t xml:space="preserve">holds </w:t>
      </w:r>
      <w:r w:rsidRPr="00254F37">
        <w:t xml:space="preserve">a portfolio of high calibre licence interests containing several drill-ready prospects including </w:t>
      </w:r>
      <w:proofErr w:type="spellStart"/>
      <w:r w:rsidRPr="00254F37">
        <w:t>Biscathorpe</w:t>
      </w:r>
      <w:proofErr w:type="spellEnd"/>
      <w:r w:rsidRPr="00254F37">
        <w:t xml:space="preserve">, North Kelsey, </w:t>
      </w:r>
      <w:proofErr w:type="spellStart"/>
      <w:r w:rsidRPr="00254F37">
        <w:t>Keddington</w:t>
      </w:r>
      <w:proofErr w:type="spellEnd"/>
      <w:r w:rsidRPr="00254F37">
        <w:t xml:space="preserve">, </w:t>
      </w:r>
      <w:proofErr w:type="spellStart"/>
      <w:r w:rsidRPr="00254F37">
        <w:t>Holmwood</w:t>
      </w:r>
      <w:proofErr w:type="spellEnd"/>
      <w:r w:rsidRPr="00254F37">
        <w:t xml:space="preserve">, Louth, North </w:t>
      </w:r>
      <w:proofErr w:type="spellStart"/>
      <w:r w:rsidRPr="00254F37">
        <w:t>Somercotes</w:t>
      </w:r>
      <w:proofErr w:type="spellEnd"/>
      <w:r w:rsidRPr="00254F37">
        <w:t xml:space="preserve"> and Broughton North.</w:t>
      </w:r>
    </w:p>
    <w:p w:rsidR="00557DF0" w:rsidRPr="00254F37" w:rsidRDefault="00557DF0" w:rsidP="008344A1">
      <w:pPr>
        <w:spacing w:after="120" w:line="240" w:lineRule="auto"/>
        <w:jc w:val="both"/>
      </w:pPr>
      <w:r w:rsidRPr="00254F37">
        <w:t>The Company holds cash in excess of £2.3 million and remains debt free.”</w:t>
      </w:r>
    </w:p>
    <w:p w:rsidR="00DD2DE2" w:rsidRDefault="00DD2DE2" w:rsidP="008344A1">
      <w:pPr>
        <w:spacing w:after="120" w:line="240" w:lineRule="auto"/>
      </w:pPr>
      <w:r>
        <w:t xml:space="preserve">For further information, please contact: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893"/>
        <w:gridCol w:w="5349"/>
      </w:tblGrid>
      <w:tr w:rsidR="00DD2DE2" w:rsidTr="00DD2DE2">
        <w:trPr>
          <w:trHeight w:val="585"/>
        </w:trPr>
        <w:tc>
          <w:tcPr>
            <w:tcW w:w="2106" w:type="pct"/>
            <w:hideMark/>
          </w:tcPr>
          <w:p w:rsidR="00DD2DE2" w:rsidRDefault="00DD2DE2" w:rsidP="008344A1">
            <w:pPr>
              <w:spacing w:after="120"/>
              <w:rPr>
                <w:rFonts w:cs="Arial"/>
                <w:b/>
              </w:rPr>
            </w:pPr>
            <w:r>
              <w:rPr>
                <w:rFonts w:cs="Arial"/>
                <w:b/>
              </w:rPr>
              <w:t xml:space="preserve">Union Jack Oil plc </w:t>
            </w:r>
          </w:p>
          <w:p w:rsidR="00DD2DE2" w:rsidRDefault="00DD2DE2" w:rsidP="008344A1">
            <w:pPr>
              <w:spacing w:after="120"/>
              <w:rPr>
                <w:rFonts w:cs="Arial"/>
              </w:rPr>
            </w:pPr>
            <w:r>
              <w:rPr>
                <w:rFonts w:cs="Arial"/>
              </w:rPr>
              <w:t>David Bramhill</w:t>
            </w:r>
          </w:p>
        </w:tc>
        <w:tc>
          <w:tcPr>
            <w:tcW w:w="2894" w:type="pct"/>
            <w:hideMark/>
          </w:tcPr>
          <w:p w:rsidR="00DD2DE2" w:rsidRDefault="00DD2DE2" w:rsidP="008344A1">
            <w:pPr>
              <w:spacing w:after="120"/>
              <w:rPr>
                <w:rFonts w:cs="Arial"/>
              </w:rPr>
            </w:pPr>
            <w:r>
              <w:rPr>
                <w:rFonts w:cs="Arial"/>
              </w:rPr>
              <w:t xml:space="preserve">+44 (0) 77871 60682 </w:t>
            </w:r>
          </w:p>
        </w:tc>
      </w:tr>
      <w:tr w:rsidR="00DD2DE2" w:rsidTr="00DD2DE2">
        <w:trPr>
          <w:trHeight w:val="185"/>
        </w:trPr>
        <w:tc>
          <w:tcPr>
            <w:tcW w:w="2106" w:type="pct"/>
          </w:tcPr>
          <w:p w:rsidR="00DD2DE2" w:rsidRDefault="00DD2DE2" w:rsidP="008344A1">
            <w:pPr>
              <w:spacing w:after="120"/>
              <w:rPr>
                <w:rFonts w:cs="Arial"/>
                <w:b/>
              </w:rPr>
            </w:pPr>
          </w:p>
        </w:tc>
        <w:tc>
          <w:tcPr>
            <w:tcW w:w="2894" w:type="pct"/>
          </w:tcPr>
          <w:p w:rsidR="00DD2DE2" w:rsidRDefault="00DD2DE2" w:rsidP="008344A1">
            <w:pPr>
              <w:spacing w:after="120"/>
              <w:rPr>
                <w:rFonts w:cs="Arial"/>
              </w:rPr>
            </w:pPr>
          </w:p>
        </w:tc>
      </w:tr>
      <w:tr w:rsidR="00DD2DE2" w:rsidTr="00DD2DE2">
        <w:trPr>
          <w:trHeight w:val="1461"/>
        </w:trPr>
        <w:tc>
          <w:tcPr>
            <w:tcW w:w="2106" w:type="pct"/>
          </w:tcPr>
          <w:p w:rsidR="00DD2DE2" w:rsidRDefault="00DD2DE2" w:rsidP="008344A1">
            <w:pPr>
              <w:spacing w:after="120"/>
              <w:rPr>
                <w:rFonts w:cs="Arial"/>
                <w:b/>
              </w:rPr>
            </w:pPr>
            <w:r>
              <w:rPr>
                <w:rFonts w:cs="Arial"/>
                <w:b/>
              </w:rPr>
              <w:lastRenderedPageBreak/>
              <w:t xml:space="preserve">Shore Capital </w:t>
            </w:r>
          </w:p>
          <w:p w:rsidR="00254F37" w:rsidRDefault="00DD2DE2" w:rsidP="008344A1">
            <w:pPr>
              <w:spacing w:after="120"/>
              <w:rPr>
                <w:rFonts w:cs="Arial"/>
              </w:rPr>
            </w:pPr>
            <w:r>
              <w:rPr>
                <w:rFonts w:cs="Arial"/>
                <w:i/>
              </w:rPr>
              <w:t>Nominated Adviser</w:t>
            </w:r>
            <w:r>
              <w:rPr>
                <w:rFonts w:cs="Arial"/>
              </w:rPr>
              <w:t xml:space="preserve"> </w:t>
            </w:r>
          </w:p>
          <w:p w:rsidR="00254F37" w:rsidRDefault="00DD2DE2" w:rsidP="008344A1">
            <w:pPr>
              <w:spacing w:after="120"/>
              <w:rPr>
                <w:rFonts w:cs="Arial"/>
              </w:rPr>
            </w:pPr>
            <w:r>
              <w:rPr>
                <w:rFonts w:cs="Arial"/>
              </w:rPr>
              <w:t>Edward Mansfield</w:t>
            </w:r>
          </w:p>
          <w:p w:rsidR="00DD2DE2" w:rsidRDefault="00DD2DE2" w:rsidP="008344A1">
            <w:pPr>
              <w:spacing w:after="120"/>
              <w:rPr>
                <w:rFonts w:cs="Arial"/>
              </w:rPr>
            </w:pPr>
            <w:r>
              <w:rPr>
                <w:rFonts w:cs="Arial"/>
              </w:rPr>
              <w:t xml:space="preserve">Anita Ghanekar </w:t>
            </w:r>
          </w:p>
          <w:p w:rsidR="00DD2DE2" w:rsidRDefault="00DD2DE2" w:rsidP="008344A1">
            <w:pPr>
              <w:spacing w:after="120"/>
              <w:rPr>
                <w:rFonts w:cs="Arial"/>
              </w:rPr>
            </w:pPr>
          </w:p>
          <w:p w:rsidR="00DD2DE2" w:rsidRDefault="00DD2DE2" w:rsidP="008344A1">
            <w:pPr>
              <w:spacing w:after="120"/>
              <w:rPr>
                <w:rFonts w:cs="Arial"/>
                <w:i/>
              </w:rPr>
            </w:pPr>
            <w:r>
              <w:rPr>
                <w:rFonts w:cs="Arial"/>
                <w:i/>
              </w:rPr>
              <w:t xml:space="preserve">Corporate Broking </w:t>
            </w:r>
          </w:p>
          <w:p w:rsidR="00DD2DE2" w:rsidRDefault="00DD2DE2" w:rsidP="008344A1">
            <w:pPr>
              <w:spacing w:after="120"/>
              <w:rPr>
                <w:rFonts w:cs="Arial"/>
                <w:b/>
              </w:rPr>
            </w:pPr>
            <w:r>
              <w:rPr>
                <w:rFonts w:cs="Arial"/>
              </w:rPr>
              <w:t xml:space="preserve">Jerry Keen </w:t>
            </w:r>
          </w:p>
        </w:tc>
        <w:tc>
          <w:tcPr>
            <w:tcW w:w="2894" w:type="pct"/>
            <w:hideMark/>
          </w:tcPr>
          <w:p w:rsidR="00DD2DE2" w:rsidRDefault="00DD2DE2" w:rsidP="008344A1">
            <w:pPr>
              <w:spacing w:after="120"/>
              <w:rPr>
                <w:rFonts w:cs="Arial"/>
              </w:rPr>
            </w:pPr>
            <w:r>
              <w:rPr>
                <w:rFonts w:cs="Arial"/>
              </w:rPr>
              <w:t xml:space="preserve">+44 (0) 20 7408 4090 </w:t>
            </w:r>
          </w:p>
        </w:tc>
      </w:tr>
      <w:tr w:rsidR="00DD2DE2" w:rsidTr="00DD2DE2">
        <w:trPr>
          <w:trHeight w:val="327"/>
        </w:trPr>
        <w:tc>
          <w:tcPr>
            <w:tcW w:w="2106" w:type="pct"/>
          </w:tcPr>
          <w:p w:rsidR="00DD2DE2" w:rsidRDefault="00DD2DE2" w:rsidP="008344A1">
            <w:pPr>
              <w:spacing w:after="120"/>
              <w:rPr>
                <w:rFonts w:cs="Arial"/>
                <w:b/>
              </w:rPr>
            </w:pPr>
          </w:p>
        </w:tc>
        <w:tc>
          <w:tcPr>
            <w:tcW w:w="2894" w:type="pct"/>
          </w:tcPr>
          <w:p w:rsidR="00DD2DE2" w:rsidRDefault="00DD2DE2" w:rsidP="008344A1">
            <w:pPr>
              <w:spacing w:after="120"/>
              <w:rPr>
                <w:rFonts w:cs="Arial"/>
              </w:rPr>
            </w:pPr>
          </w:p>
        </w:tc>
      </w:tr>
      <w:tr w:rsidR="00DD2DE2" w:rsidTr="00DD2DE2">
        <w:trPr>
          <w:trHeight w:val="814"/>
        </w:trPr>
        <w:tc>
          <w:tcPr>
            <w:tcW w:w="2106" w:type="pct"/>
            <w:hideMark/>
          </w:tcPr>
          <w:p w:rsidR="00254F37" w:rsidRDefault="00DD2DE2" w:rsidP="008344A1">
            <w:pPr>
              <w:spacing w:after="120"/>
              <w:rPr>
                <w:rFonts w:cs="Arial"/>
              </w:rPr>
            </w:pPr>
            <w:r>
              <w:rPr>
                <w:rFonts w:cs="Arial"/>
                <w:b/>
              </w:rPr>
              <w:t xml:space="preserve">SP Angel </w:t>
            </w:r>
            <w:r>
              <w:rPr>
                <w:rFonts w:cs="Arial"/>
                <w:b/>
              </w:rPr>
              <w:br/>
            </w:r>
            <w:r>
              <w:rPr>
                <w:rFonts w:cs="Arial"/>
                <w:i/>
              </w:rPr>
              <w:t>Joint Broker</w:t>
            </w:r>
          </w:p>
          <w:p w:rsidR="00DD2DE2" w:rsidRDefault="00DD2DE2" w:rsidP="008344A1">
            <w:pPr>
              <w:spacing w:after="120"/>
              <w:rPr>
                <w:rFonts w:cs="Arial"/>
                <w:b/>
              </w:rPr>
            </w:pPr>
            <w:r>
              <w:rPr>
                <w:rFonts w:cs="Arial"/>
              </w:rPr>
              <w:t>Richard Hail</w:t>
            </w:r>
          </w:p>
        </w:tc>
        <w:tc>
          <w:tcPr>
            <w:tcW w:w="2894" w:type="pct"/>
            <w:hideMark/>
          </w:tcPr>
          <w:p w:rsidR="00DD2DE2" w:rsidRDefault="00DD2DE2" w:rsidP="008344A1">
            <w:pPr>
              <w:spacing w:after="120"/>
              <w:rPr>
                <w:rFonts w:cs="Arial"/>
              </w:rPr>
            </w:pPr>
            <w:r>
              <w:rPr>
                <w:rFonts w:cs="Arial"/>
              </w:rPr>
              <w:t>+44 (0) 20 3470 0470</w:t>
            </w:r>
          </w:p>
        </w:tc>
      </w:tr>
      <w:tr w:rsidR="00DD2DE2" w:rsidTr="00DD2DE2">
        <w:trPr>
          <w:trHeight w:val="327"/>
        </w:trPr>
        <w:tc>
          <w:tcPr>
            <w:tcW w:w="2106" w:type="pct"/>
          </w:tcPr>
          <w:p w:rsidR="00DD2DE2" w:rsidRDefault="00DD2DE2" w:rsidP="008344A1">
            <w:pPr>
              <w:spacing w:after="120"/>
              <w:rPr>
                <w:rFonts w:cs="Arial"/>
                <w:b/>
              </w:rPr>
            </w:pPr>
          </w:p>
        </w:tc>
        <w:tc>
          <w:tcPr>
            <w:tcW w:w="2894" w:type="pct"/>
          </w:tcPr>
          <w:p w:rsidR="00DD2DE2" w:rsidRDefault="00DD2DE2" w:rsidP="008344A1">
            <w:pPr>
              <w:spacing w:after="120"/>
              <w:rPr>
                <w:rFonts w:cs="Arial"/>
              </w:rPr>
            </w:pPr>
          </w:p>
        </w:tc>
      </w:tr>
      <w:tr w:rsidR="00DD2DE2" w:rsidTr="00DD2DE2">
        <w:trPr>
          <w:trHeight w:val="1148"/>
        </w:trPr>
        <w:tc>
          <w:tcPr>
            <w:tcW w:w="2106" w:type="pct"/>
            <w:hideMark/>
          </w:tcPr>
          <w:p w:rsidR="00DD2DE2" w:rsidRDefault="00DD2DE2" w:rsidP="008344A1">
            <w:pPr>
              <w:spacing w:after="120"/>
              <w:rPr>
                <w:rFonts w:cs="Arial"/>
                <w:b/>
              </w:rPr>
            </w:pPr>
            <w:r>
              <w:rPr>
                <w:rFonts w:cs="Arial"/>
                <w:b/>
              </w:rPr>
              <w:t xml:space="preserve">Yellow Jersey PR Limited </w:t>
            </w:r>
          </w:p>
          <w:p w:rsidR="00DD2DE2" w:rsidRDefault="00DD2DE2" w:rsidP="008344A1">
            <w:pPr>
              <w:spacing w:after="120"/>
              <w:rPr>
                <w:rFonts w:cs="Arial"/>
                <w:i/>
              </w:rPr>
            </w:pPr>
            <w:r>
              <w:rPr>
                <w:rFonts w:cs="Arial"/>
                <w:i/>
              </w:rPr>
              <w:t xml:space="preserve">Public Relations </w:t>
            </w:r>
          </w:p>
          <w:p w:rsidR="00DD2DE2" w:rsidRDefault="00DD2DE2" w:rsidP="008344A1">
            <w:pPr>
              <w:spacing w:after="120"/>
              <w:rPr>
                <w:rFonts w:cs="Arial"/>
                <w:b/>
              </w:rPr>
            </w:pPr>
            <w:r>
              <w:rPr>
                <w:rFonts w:cs="Arial"/>
              </w:rPr>
              <w:t>Dominic Barretto</w:t>
            </w:r>
          </w:p>
          <w:p w:rsidR="00DD2DE2" w:rsidRDefault="00DD2DE2" w:rsidP="008344A1">
            <w:pPr>
              <w:spacing w:after="120"/>
              <w:rPr>
                <w:rFonts w:cs="Arial"/>
                <w:b/>
              </w:rPr>
            </w:pPr>
            <w:r>
              <w:rPr>
                <w:rFonts w:cs="Arial"/>
              </w:rPr>
              <w:t>Aiden Stanley</w:t>
            </w:r>
          </w:p>
        </w:tc>
        <w:tc>
          <w:tcPr>
            <w:tcW w:w="2894" w:type="pct"/>
            <w:hideMark/>
          </w:tcPr>
          <w:p w:rsidR="00DD2DE2" w:rsidRDefault="00DD2DE2" w:rsidP="008344A1">
            <w:pPr>
              <w:spacing w:after="120"/>
              <w:rPr>
                <w:rFonts w:cs="Arial"/>
              </w:rPr>
            </w:pPr>
            <w:r>
              <w:rPr>
                <w:rFonts w:cs="Arial"/>
              </w:rPr>
              <w:t xml:space="preserve">+44 (0) 7768 537 739 </w:t>
            </w:r>
          </w:p>
          <w:p w:rsidR="00DD2DE2" w:rsidRDefault="00DD2DE2" w:rsidP="008344A1">
            <w:pPr>
              <w:spacing w:after="120"/>
              <w:rPr>
                <w:rFonts w:cs="Arial"/>
              </w:rPr>
            </w:pPr>
            <w:r>
              <w:rPr>
                <w:rFonts w:cs="Arial"/>
              </w:rPr>
              <w:t xml:space="preserve">+44 (0) </w:t>
            </w:r>
            <w:r>
              <w:t>7584 085 670</w:t>
            </w:r>
          </w:p>
        </w:tc>
      </w:tr>
    </w:tbl>
    <w:p w:rsidR="00DD2DE2" w:rsidRDefault="00DD2DE2" w:rsidP="008344A1">
      <w:pPr>
        <w:spacing w:after="120" w:line="240" w:lineRule="auto"/>
      </w:pPr>
    </w:p>
    <w:p w:rsidR="00DD2DE2" w:rsidRDefault="00DD2DE2" w:rsidP="008344A1">
      <w:pPr>
        <w:spacing w:after="120" w:line="240" w:lineRule="auto"/>
        <w:jc w:val="both"/>
      </w:pPr>
    </w:p>
    <w:sectPr w:rsidR="00DD2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F588B"/>
    <w:multiLevelType w:val="hybridMultilevel"/>
    <w:tmpl w:val="8BD294C4"/>
    <w:lvl w:ilvl="0" w:tplc="08090001">
      <w:start w:val="1"/>
      <w:numFmt w:val="bullet"/>
      <w:lvlText w:val=""/>
      <w:lvlJc w:val="left"/>
      <w:pPr>
        <w:ind w:left="1440" w:hanging="360"/>
      </w:pPr>
      <w:rPr>
        <w:rFonts w:ascii="Symbol" w:hAnsi="Symbol" w:hint="default"/>
      </w:rPr>
    </w:lvl>
    <w:lvl w:ilvl="1" w:tplc="B2783A98">
      <w:numFmt w:val="bullet"/>
      <w:lvlText w:val="•"/>
      <w:lvlJc w:val="left"/>
      <w:pPr>
        <w:ind w:left="2520" w:hanging="720"/>
      </w:pPr>
      <w:rPr>
        <w:rFonts w:ascii="Calibri" w:eastAsiaTheme="minorHAnsi" w:hAnsi="Calibr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57"/>
    <w:rsid w:val="00143159"/>
    <w:rsid w:val="00254F37"/>
    <w:rsid w:val="002D5669"/>
    <w:rsid w:val="00397A36"/>
    <w:rsid w:val="003D14CC"/>
    <w:rsid w:val="003D6D06"/>
    <w:rsid w:val="00557DF0"/>
    <w:rsid w:val="005646BF"/>
    <w:rsid w:val="00695C59"/>
    <w:rsid w:val="008344A1"/>
    <w:rsid w:val="00905257"/>
    <w:rsid w:val="00A45FDF"/>
    <w:rsid w:val="00DD2DE2"/>
    <w:rsid w:val="00E63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9EB6A-A4D6-40F2-BC8B-E1342F8B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F37"/>
    <w:pPr>
      <w:ind w:left="720"/>
      <w:contextualSpacing/>
    </w:pPr>
  </w:style>
  <w:style w:type="paragraph" w:styleId="BalloonText">
    <w:name w:val="Balloon Text"/>
    <w:basedOn w:val="Normal"/>
    <w:link w:val="BalloonTextChar"/>
    <w:uiPriority w:val="99"/>
    <w:semiHidden/>
    <w:unhideWhenUsed/>
    <w:rsid w:val="0025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30805">
      <w:bodyDiv w:val="1"/>
      <w:marLeft w:val="0"/>
      <w:marRight w:val="0"/>
      <w:marTop w:val="0"/>
      <w:marBottom w:val="0"/>
      <w:divBdr>
        <w:top w:val="none" w:sz="0" w:space="0" w:color="auto"/>
        <w:left w:val="none" w:sz="0" w:space="0" w:color="auto"/>
        <w:bottom w:val="none" w:sz="0" w:space="0" w:color="auto"/>
        <w:right w:val="none" w:sz="0" w:space="0" w:color="auto"/>
      </w:divBdr>
    </w:div>
    <w:div w:id="1092049769">
      <w:bodyDiv w:val="1"/>
      <w:marLeft w:val="0"/>
      <w:marRight w:val="0"/>
      <w:marTop w:val="0"/>
      <w:marBottom w:val="0"/>
      <w:divBdr>
        <w:top w:val="none" w:sz="0" w:space="0" w:color="auto"/>
        <w:left w:val="none" w:sz="0" w:space="0" w:color="auto"/>
        <w:bottom w:val="none" w:sz="0" w:space="0" w:color="auto"/>
        <w:right w:val="none" w:sz="0" w:space="0" w:color="auto"/>
      </w:divBdr>
    </w:div>
    <w:div w:id="11425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Elston</dc:creator>
  <cp:lastModifiedBy>david bramhill</cp:lastModifiedBy>
  <cp:revision>2</cp:revision>
  <dcterms:created xsi:type="dcterms:W3CDTF">2016-07-04T06:01:00Z</dcterms:created>
  <dcterms:modified xsi:type="dcterms:W3CDTF">2016-07-04T06:01:00Z</dcterms:modified>
</cp:coreProperties>
</file>